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5A7E" w14:textId="77777777" w:rsidR="004B68D3" w:rsidRDefault="004B68D3"/>
    <w:p w14:paraId="68F76746" w14:textId="57046A40" w:rsidR="00BD2BC8" w:rsidRDefault="00000000" w:rsidP="004B68D3">
      <w:pPr>
        <w:pBdr>
          <w:top w:val="single" w:sz="4" w:space="1" w:color="auto"/>
          <w:left w:val="single" w:sz="4" w:space="4" w:color="auto"/>
          <w:bottom w:val="single" w:sz="4" w:space="1" w:color="auto"/>
          <w:right w:val="single" w:sz="4" w:space="4" w:color="auto"/>
        </w:pBdr>
      </w:pPr>
      <w:r>
        <w:rPr>
          <w:rFonts w:ascii="Calibri" w:eastAsia="Calibri" w:hAnsi="Calibri" w:cs="Times New Roman"/>
          <w:lang w:val="eu-ES"/>
        </w:rPr>
        <w:t>Garraiorako zuzeneko laguntzen deialdia, Ekialde Ertaineko krisiari erantzuteko neurriei buruzko martxoaren 20ko 7/2026 Errege Lege Dekretuaren bidez onetsia.</w:t>
      </w:r>
    </w:p>
    <w:p w14:paraId="33576173" w14:textId="06FAB1B2" w:rsidR="004B68D3" w:rsidRDefault="00000000" w:rsidP="00BD2BC8">
      <w:pPr>
        <w:pBdr>
          <w:top w:val="single" w:sz="4" w:space="1" w:color="auto"/>
          <w:left w:val="single" w:sz="4" w:space="4" w:color="auto"/>
          <w:bottom w:val="single" w:sz="4" w:space="1" w:color="auto"/>
          <w:right w:val="single" w:sz="4" w:space="4" w:color="auto"/>
        </w:pBdr>
        <w:jc w:val="both"/>
      </w:pPr>
      <w:r>
        <w:rPr>
          <w:rFonts w:ascii="Calibri" w:eastAsia="Calibri" w:hAnsi="Calibri" w:cs="Times New Roman"/>
          <w:lang w:val="eu-ES"/>
        </w:rPr>
        <w:t>Laguntza berri horiek errepide bidezko lurreko garraioko profesionalek kontsumitutako gasolioaren prezioa ordaintzeko balioko dute; izan ere, profesional horiek, beren ibilgailu jakin batzuei dagokienez, ezin dute jaso erabilera profesionaleko gasolioagatiko hidrokarburoen gaineko zergaren zati baten itzulketa (Zerga Berezien Legearen 52 bis artikulua). Eskaerak aurkezteko epea: 2026ko maiatzaren 1etik ekainaren 30era.</w:t>
      </w:r>
    </w:p>
    <w:p w14:paraId="26D21F00" w14:textId="7842CD4C" w:rsidR="004B68D3" w:rsidRDefault="004B68D3"/>
    <w:p w14:paraId="35CAE08F" w14:textId="58066D53" w:rsidR="004B68D3" w:rsidRPr="004B68D3" w:rsidRDefault="00000000">
      <w:pPr>
        <w:rPr>
          <w:b/>
          <w:bCs/>
        </w:rPr>
      </w:pPr>
      <w:r>
        <w:rPr>
          <w:rFonts w:ascii="Calibri" w:eastAsia="Calibri" w:hAnsi="Calibri" w:cs="Times New Roman"/>
          <w:bCs/>
          <w:lang w:val="eu-ES"/>
        </w:rPr>
        <w:t>Nork eska dezake laguntza?</w:t>
      </w:r>
    </w:p>
    <w:p w14:paraId="30150A97" w14:textId="020E7025" w:rsidR="004B68D3" w:rsidRDefault="00000000" w:rsidP="004B68D3">
      <w:pPr>
        <w:jc w:val="both"/>
      </w:pPr>
      <w:r>
        <w:rPr>
          <w:rFonts w:ascii="Calibri" w:eastAsia="Calibri" w:hAnsi="Calibri" w:cs="Times New Roman"/>
          <w:lang w:val="eu-ES"/>
        </w:rPr>
        <w:t>Zuzeneko laguntzak eskatu ahal izango dituzte zerga egoitza Araban duten langile autonomoek eta nortasun juridikoko sozietateek, baldin eta VDE, VT, VTC, VSE, MDPE eta MDLE motetako edozein garraio baimenaren titularrak badira, kontuan hartuta baimenari atxikitako ibilgailuen kopurua eta mota, eta 2026ko martxoaren 22an Garraioko Enpresen eta Jardueren Erregistroan alta emanda badaude.</w:t>
      </w:r>
    </w:p>
    <w:p w14:paraId="2F173F8A" w14:textId="67C414E1" w:rsidR="004B68D3" w:rsidRDefault="00000000" w:rsidP="004B68D3">
      <w:pPr>
        <w:jc w:val="both"/>
      </w:pPr>
      <w:r>
        <w:rPr>
          <w:rFonts w:ascii="Calibri" w:eastAsia="Calibri" w:hAnsi="Calibri" w:cs="Times New Roman"/>
          <w:lang w:val="eu-ES"/>
        </w:rPr>
        <w:t>Halaber, laguntza eskatu ahal izango dute hiri autobusen titularrek, Ibilgailuen Erregelamendu Orokorraren erabilera irizpideen araberako sailkapenaren arabera, baldin eta 2026ko martxoaren 22an alta emanda bazeuden Trafiko Buruzagitza Nagusiaren Ibilgailuen Erregistroan eta zerga egoitza Araban badute.</w:t>
      </w:r>
    </w:p>
    <w:p w14:paraId="0DCF6EFB" w14:textId="77777777" w:rsidR="004D23F4" w:rsidRDefault="004D23F4" w:rsidP="004B68D3">
      <w:pPr>
        <w:jc w:val="both"/>
      </w:pPr>
    </w:p>
    <w:p w14:paraId="7FE63B4B" w14:textId="6861DFB1" w:rsidR="001855C7" w:rsidRDefault="00000000" w:rsidP="004B68D3">
      <w:pPr>
        <w:jc w:val="both"/>
        <w:rPr>
          <w:b/>
          <w:bCs/>
        </w:rPr>
      </w:pPr>
      <w:r>
        <w:rPr>
          <w:rFonts w:ascii="Calibri" w:eastAsia="Calibri" w:hAnsi="Calibri" w:cs="Times New Roman"/>
          <w:b/>
          <w:bCs/>
          <w:lang w:val="eu-ES"/>
        </w:rPr>
        <w:t>Zein da laguntzaren zenbatekoa?</w:t>
      </w:r>
    </w:p>
    <w:p w14:paraId="3907B3EF" w14:textId="0DF3598D" w:rsidR="003775F7" w:rsidRDefault="00000000" w:rsidP="004B68D3">
      <w:pPr>
        <w:jc w:val="both"/>
      </w:pPr>
      <w:r>
        <w:rPr>
          <w:rFonts w:ascii="Calibri" w:eastAsia="Calibri" w:hAnsi="Calibri" w:cs="Times New Roman"/>
          <w:lang w:val="eu-ES"/>
        </w:rPr>
        <w:t>Laguntzaren banakako zenbatekoa zehazteko, onuradun bakoitzak ustiatutako ibilgailu kopurua eta mota hartuko dira kontuan, baldin eta ezin badu jaso erabilera profesionaleko gasolioagatik hidrokarburoen gaineko zergaren zati baten itzulketa, Zerga Berezien Legearen 52 bis artikuluan xedatua, honela:</w:t>
      </w: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7660"/>
        <w:gridCol w:w="1835"/>
      </w:tblGrid>
      <w:tr w:rsidR="008E6514" w14:paraId="0F513E83" w14:textId="77777777" w:rsidTr="00424D7A">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005EB5"/>
            <w:hideMark/>
          </w:tcPr>
          <w:p w14:paraId="3E79FA1A" w14:textId="77777777" w:rsidR="00424D7A" w:rsidRPr="00424D7A" w:rsidRDefault="00000000" w:rsidP="00424D7A">
            <w:pPr>
              <w:spacing w:after="100" w:afterAutospacing="1" w:line="240" w:lineRule="auto"/>
              <w:rPr>
                <w:rFonts w:ascii="Arial" w:eastAsia="Times New Roman" w:hAnsi="Arial" w:cs="Arial"/>
                <w:color w:val="FFFFFF"/>
                <w:sz w:val="24"/>
                <w:szCs w:val="24"/>
                <w:lang w:eastAsia="es-ES"/>
              </w:rPr>
            </w:pPr>
            <w:r>
              <w:rPr>
                <w:rFonts w:ascii="Arial" w:eastAsia="Arial" w:hAnsi="Arial" w:cs="Arial"/>
                <w:b/>
                <w:bCs/>
                <w:color w:val="FFFFFF"/>
                <w:sz w:val="24"/>
                <w:szCs w:val="24"/>
                <w:lang w:val="eu-ES" w:eastAsia="es-ES"/>
              </w:rPr>
              <w:t>Ibilgailua</w:t>
            </w:r>
          </w:p>
        </w:tc>
        <w:tc>
          <w:tcPr>
            <w:tcW w:w="0" w:type="auto"/>
            <w:tcBorders>
              <w:top w:val="single" w:sz="6" w:space="0" w:color="DEE2E6"/>
              <w:left w:val="single" w:sz="6" w:space="0" w:color="DEE2E6"/>
              <w:bottom w:val="single" w:sz="12" w:space="0" w:color="DEE2E6"/>
              <w:right w:val="single" w:sz="6" w:space="0" w:color="DEE2E6"/>
            </w:tcBorders>
            <w:shd w:val="clear" w:color="auto" w:fill="005EB5"/>
            <w:hideMark/>
          </w:tcPr>
          <w:p w14:paraId="687C9AF3" w14:textId="77777777" w:rsidR="00424D7A" w:rsidRPr="00424D7A" w:rsidRDefault="00000000" w:rsidP="00424D7A">
            <w:pPr>
              <w:spacing w:after="100" w:afterAutospacing="1" w:line="240" w:lineRule="auto"/>
              <w:rPr>
                <w:rFonts w:ascii="Arial" w:eastAsia="Times New Roman" w:hAnsi="Arial" w:cs="Arial"/>
                <w:color w:val="FFFFFF"/>
                <w:sz w:val="24"/>
                <w:szCs w:val="24"/>
                <w:lang w:eastAsia="es-ES"/>
              </w:rPr>
            </w:pPr>
            <w:r>
              <w:rPr>
                <w:rFonts w:ascii="Arial" w:eastAsia="Arial" w:hAnsi="Arial" w:cs="Arial"/>
                <w:b/>
                <w:bCs/>
                <w:color w:val="FFFFFF"/>
                <w:sz w:val="24"/>
                <w:szCs w:val="24"/>
                <w:lang w:val="eu-ES" w:eastAsia="es-ES"/>
              </w:rPr>
              <w:t>Zenbatekoa (eurotan)</w:t>
            </w:r>
          </w:p>
        </w:tc>
      </w:tr>
      <w:tr w:rsidR="008E6514" w14:paraId="0927D0E6" w14:textId="77777777" w:rsidTr="00424D7A">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AD7E016" w14:textId="28381A16"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Salgaien ibilgailu astuna. Kamioia. MDPE, ≥ 7,5 t-ko GMBarekin eta PGL, GNK edo GNL erregai motarekin</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6BC8430"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1.800</w:t>
            </w:r>
          </w:p>
        </w:tc>
      </w:tr>
      <w:tr w:rsidR="008E6514" w14:paraId="28DB0692" w14:textId="77777777" w:rsidTr="00424D7A">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F288741"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Salgaien ibilgailu astuna. Kamioia. MDPE, &lt;7,5 t-ko GMBarekin</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0D9A6A6"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665</w:t>
            </w:r>
          </w:p>
        </w:tc>
      </w:tr>
      <w:tr w:rsidR="008E6514" w14:paraId="6E0DB810" w14:textId="77777777" w:rsidTr="00424D7A">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597E7D3"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Salgaien ibilgailu arina. Furgoneta. MDLE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FA59338"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300</w:t>
            </w:r>
          </w:p>
        </w:tc>
      </w:tr>
      <w:tr w:rsidR="008E6514" w14:paraId="3E5FE05B" w14:textId="77777777" w:rsidTr="00424D7A">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F5B2D29" w14:textId="3A1A1FD0"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Anbulantzia. VSE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7E02E60"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300</w:t>
            </w:r>
          </w:p>
        </w:tc>
      </w:tr>
      <w:tr w:rsidR="008E6514" w14:paraId="7C782F7E" w14:textId="77777777" w:rsidTr="00424D7A">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F2EE7D5"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Taxia. VT eta PGL, GNK edo GNL erregai mota.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580E258"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200</w:t>
            </w:r>
          </w:p>
        </w:tc>
      </w:tr>
      <w:tr w:rsidR="008E6514" w14:paraId="5AA34604" w14:textId="77777777" w:rsidTr="00424D7A">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9C2F9B3" w14:textId="174332AD"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Taxia. VT eta gasolina erregai mota.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7F2047F"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200</w:t>
            </w:r>
          </w:p>
        </w:tc>
      </w:tr>
      <w:tr w:rsidR="008E6514" w14:paraId="363FACD6" w14:textId="77777777" w:rsidTr="00424D7A">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FB1E433"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Alokairuko ibilgailua eta gidaria. VTC</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68C7A60"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200</w:t>
            </w:r>
          </w:p>
        </w:tc>
      </w:tr>
      <w:tr w:rsidR="008E6514" w14:paraId="6F94EEAF" w14:textId="77777777" w:rsidTr="00424D7A">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3D6602A" w14:textId="62317C73"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Autobusa. VDE eta PGL, GNK edo GNL erregai mota.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233FD9B"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975</w:t>
            </w:r>
          </w:p>
        </w:tc>
      </w:tr>
      <w:tr w:rsidR="008E6514" w14:paraId="27C89A84" w14:textId="77777777" w:rsidTr="00424D7A">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1955065" w14:textId="168FE2C8"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Hiriko autobusa, Ibilgailuen Erregelamendu Orokorreko erabilera irizpideen araberako sailkapenaren arabera, eta PGL, GNK edo GNL erregai mota.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83A1872" w14:textId="77777777" w:rsidR="00424D7A" w:rsidRPr="00424D7A" w:rsidRDefault="00000000" w:rsidP="00424D7A">
            <w:pPr>
              <w:spacing w:after="100" w:afterAutospacing="1" w:line="240" w:lineRule="auto"/>
              <w:rPr>
                <w:rFonts w:ascii="Arial" w:eastAsia="Times New Roman" w:hAnsi="Arial" w:cs="Arial"/>
                <w:color w:val="000000"/>
                <w:sz w:val="24"/>
                <w:szCs w:val="24"/>
                <w:lang w:eastAsia="es-ES"/>
              </w:rPr>
            </w:pPr>
            <w:r>
              <w:rPr>
                <w:rFonts w:ascii="Arial" w:eastAsia="Arial" w:hAnsi="Arial" w:cs="Arial"/>
                <w:color w:val="000000"/>
                <w:sz w:val="24"/>
                <w:szCs w:val="24"/>
                <w:lang w:val="eu-ES" w:eastAsia="es-ES"/>
              </w:rPr>
              <w:t>975</w:t>
            </w:r>
          </w:p>
        </w:tc>
      </w:tr>
    </w:tbl>
    <w:p w14:paraId="60E5D668" w14:textId="06E76D0C" w:rsidR="001855C7" w:rsidRDefault="001855C7" w:rsidP="004B68D3">
      <w:pPr>
        <w:jc w:val="both"/>
      </w:pPr>
    </w:p>
    <w:p w14:paraId="24309024" w14:textId="575E3EC5" w:rsidR="004B472F" w:rsidRDefault="00000000" w:rsidP="004B68D3">
      <w:pPr>
        <w:jc w:val="both"/>
      </w:pPr>
      <w:r>
        <w:rPr>
          <w:rFonts w:ascii="Calibri" w:eastAsia="Calibri" w:hAnsi="Calibri" w:cs="Times New Roman"/>
          <w:lang w:val="eu-ES"/>
        </w:rPr>
        <w:lastRenderedPageBreak/>
        <w:t>Laguntza hori bateraezina da gasolio profesionalagatiko hidrokarburoen gaineko zergaren itzulketaren (Zerga Berezien Legearen 52 bis artikulua) onuradunentzako laguntza berriarekin; beraz, laguntza ez zaie aplikatuko itzulketa horretarako eskubidea duten ibilgailuei.</w:t>
      </w:r>
    </w:p>
    <w:p w14:paraId="35FD2ED0" w14:textId="77777777" w:rsidR="004B472F" w:rsidRDefault="004B472F" w:rsidP="004B68D3">
      <w:pPr>
        <w:jc w:val="both"/>
      </w:pPr>
    </w:p>
    <w:p w14:paraId="774F1DC7" w14:textId="6BE67C0F" w:rsidR="001855C7" w:rsidRPr="001855C7" w:rsidRDefault="00000000" w:rsidP="004B68D3">
      <w:pPr>
        <w:jc w:val="both"/>
        <w:rPr>
          <w:b/>
          <w:bCs/>
        </w:rPr>
      </w:pPr>
      <w:r>
        <w:rPr>
          <w:rFonts w:ascii="Calibri" w:eastAsia="Calibri" w:hAnsi="Calibri" w:cs="Times New Roman"/>
          <w:b/>
          <w:bCs/>
          <w:lang w:val="eu-ES"/>
        </w:rPr>
        <w:t>Noiz eskatu behar da laguntza?</w:t>
      </w:r>
    </w:p>
    <w:p w14:paraId="56BE4C45" w14:textId="2B17974B" w:rsidR="001855C7" w:rsidRDefault="00000000" w:rsidP="004B68D3">
      <w:pPr>
        <w:jc w:val="both"/>
      </w:pPr>
      <w:r>
        <w:rPr>
          <w:rFonts w:ascii="Calibri" w:eastAsia="Calibri" w:hAnsi="Calibri" w:cs="Times New Roman"/>
          <w:lang w:val="eu-ES"/>
        </w:rPr>
        <w:t>Eskaera 2026ko maiatzaren 1etik ekainaren 30era bitartean egin daiteke.</w:t>
      </w:r>
    </w:p>
    <w:p w14:paraId="53C1F892" w14:textId="77777777" w:rsidR="001855C7" w:rsidRDefault="001855C7" w:rsidP="004B68D3">
      <w:pPr>
        <w:jc w:val="both"/>
      </w:pPr>
    </w:p>
    <w:p w14:paraId="33EDD32D" w14:textId="0432486F" w:rsidR="001855C7" w:rsidRPr="001855C7" w:rsidRDefault="00000000" w:rsidP="004B68D3">
      <w:pPr>
        <w:jc w:val="both"/>
        <w:rPr>
          <w:b/>
          <w:bCs/>
        </w:rPr>
      </w:pPr>
      <w:r>
        <w:rPr>
          <w:rFonts w:ascii="Calibri" w:eastAsia="Calibri" w:hAnsi="Calibri" w:cs="Times New Roman"/>
          <w:b/>
          <w:bCs/>
          <w:lang w:val="eu-ES"/>
        </w:rPr>
        <w:t>Nola eskatu behar da laguntza?</w:t>
      </w:r>
    </w:p>
    <w:p w14:paraId="18117CE7" w14:textId="7F55593A" w:rsidR="001855C7" w:rsidRDefault="00000000" w:rsidP="004B68D3">
      <w:pPr>
        <w:jc w:val="both"/>
      </w:pPr>
      <w:r>
        <w:rPr>
          <w:rFonts w:ascii="Calibri" w:eastAsia="Calibri" w:hAnsi="Calibri" w:cs="Times New Roman"/>
          <w:lang w:val="eu-ES"/>
        </w:rPr>
        <w:t>Maiatzaren 1ean Arabako Foru Aldundiaren egoitza elektronikoan argitaratuko den inprimakiaren bidez.</w:t>
      </w:r>
    </w:p>
    <w:sectPr w:rsidR="001855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D3"/>
    <w:rsid w:val="00097C1E"/>
    <w:rsid w:val="000F1163"/>
    <w:rsid w:val="00112368"/>
    <w:rsid w:val="001855C7"/>
    <w:rsid w:val="00225E0F"/>
    <w:rsid w:val="00361030"/>
    <w:rsid w:val="003775F7"/>
    <w:rsid w:val="00424D7A"/>
    <w:rsid w:val="00476B74"/>
    <w:rsid w:val="004B472F"/>
    <w:rsid w:val="004B68D3"/>
    <w:rsid w:val="004D23F4"/>
    <w:rsid w:val="006768E5"/>
    <w:rsid w:val="00780861"/>
    <w:rsid w:val="00824B9D"/>
    <w:rsid w:val="008E6514"/>
    <w:rsid w:val="00AE2DA2"/>
    <w:rsid w:val="00AF5077"/>
    <w:rsid w:val="00BD2BC8"/>
    <w:rsid w:val="00C15F0B"/>
    <w:rsid w:val="00C50D63"/>
    <w:rsid w:val="00CA3CEF"/>
    <w:rsid w:val="00D52B88"/>
    <w:rsid w:val="00D664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5510"/>
  <w15:chartTrackingRefBased/>
  <w15:docId w15:val="{718650BB-DFE2-4D67-93FD-F048E30D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zq">
    <w:name w:val="texto_izq"/>
    <w:basedOn w:val="Normal"/>
    <w:rsid w:val="00424D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24D7A"/>
    <w:rPr>
      <w:b/>
      <w:bCs/>
    </w:rPr>
  </w:style>
  <w:style w:type="paragraph" w:styleId="NormalWeb">
    <w:name w:val="Normal (Web)"/>
    <w:basedOn w:val="Normal"/>
    <w:uiPriority w:val="99"/>
    <w:semiHidden/>
    <w:unhideWhenUsed/>
    <w:rsid w:val="00424D7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Muñoz Gómez, Rubén</dc:creator>
  <cp:lastModifiedBy>Monforte Martinez, Begoña</cp:lastModifiedBy>
  <cp:revision>2</cp:revision>
  <dcterms:created xsi:type="dcterms:W3CDTF">2026-04-27T12:41:00Z</dcterms:created>
  <dcterms:modified xsi:type="dcterms:W3CDTF">2026-04-27T12:41:00Z</dcterms:modified>
</cp:coreProperties>
</file>